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43</w:t>
      </w:r>
    </w:p>
    <w:p>
      <w:r>
        <w:t>Bundesgericht (BGE), 1965-03-05, DE</w:t>
      </w:r>
    </w:p>
    <w:p>
      <w:r>
        <w:rPr>
          <w:b/>
        </w:rPr>
        <w:t xml:space="preserve">Quelle: </w:t>
      </w:r>
      <w:r>
        <w:t>https://mcp.opencaselaw.ch/entscheid/bge_91 IV 43</w:t>
      </w:r>
    </w:p>
    <w:p>
      <w:r>
        <w:t>FR: ATF 91 IV 43</w:t>
      </w:r>
    </w:p>
    <w:p>
      <w:r>
        <w:t>IT: DTF 91 IV 43</w:t>
      </w:r>
    </w:p>
    <w:p>
      <w:pPr>
        <w:pStyle w:val="Heading2"/>
      </w:pPr>
      <w:r>
        <w:t>Regeste</w:t>
      </w:r>
    </w:p>
    <w:p>
      <w:r>
        <w:t>Regeste Art. 3 Abs. 3 GSchG. Die Ermächtigung der Kantone, zur Behebung der Gewässerverunreinigung Massnahmen anzuordnen und Fristen anzusetzen, befreit den Betriebsinhaber nicht von der Verpflichtung, schon von sich aus das ihm Zumutbare gegen eine weitere Gewässerverschmutzung vorzukehren.</w:t>
      </w:r>
    </w:p>
    <w:p>
      <w:pPr>
        <w:pStyle w:val="Heading2"/>
      </w:pPr>
      <w:r>
        <w:t>Erwägungen</w:t>
      </w:r>
    </w:p>
    <w:p>
      <w:r>
        <w:rPr>
          <w:b/>
        </w:rPr>
        <w:t>E. 2</w:t>
      </w:r>
    </w:p>
    <w:p>
      <w:r>
        <w:t>Nach Art. 3 Abs. 3 GSchG sind bei bestehenden Ableitungen die erforderlichen Massnahmen zu treffen, um Gewässerverunreinigungen zu beheben. Zu Unrecht glaubt der Beschwerdeführer, dies habe erst auf behördliche Weisung hin zu geschehen. Wohl ist im nämlichen Gesetzesabsatz gesagt, die Kantone seien "ermächtigt, die Durchführung dieser Massnahmen schrittweise anzuordnen und angemessene Fristen anzusetzen". Diese Ermächtigung befreit den Betriebsinhaber jedoch nicht von der Verpflichtung, bereits von sich aus das ihm Zumutbare gegen eine weitere Gewässerverschmutzung vorzukehren. Diesem Gebot ist der Beschwerdeführer nicht nachgekommen.</w:t>
      </w:r>
    </w:p>
    <w:p>
      <w:r>
        <w:rPr>
          <w:b/>
        </w:rPr>
        <w:t>E. 3</w:t>
      </w:r>
    </w:p>
    <w:p>
      <w:r>
        <w:t>Was den Umfang der Verschmutzung anbelangt, so steht fest, dass diese seit der Betriebsübernahme durch den Beschwerdeführer nicht nur gleich geblieben ist, sondern zugenommen hat. Ursache hiefür bildeten offensichtlich die stärkere Betriebsausnutzung einerseits und der Ausfall des Weihers als Klärbecken anderseits. Beide Umstände waren dem Beschwerdeführer bekannt. Dass er gemäss seinem Einwand die Ausfüllung jenes benachbarten Weihers nicht verhindern konnte, vermag ihn nicht zu entlasten. Es lag an ihm, für diesen Ausfall eine entsprechende Ersatzlösung zu treffen. Hinzu kam im Winter 1963/64 ein allgemeiner Wassermangel, durch den die Gewässerverschmutzung eine Verdichtung erfuhr. Auch mit einem derartigen Umstand war zu rechnen. Unwesentlich ist die Einwendung, die im November 1963 festgestellten Verhältnisse, namentlich das Eingehen einer Anzahl Fische seien nicht allein durch diese Fabrikabwasser verursacht worden. Für die Verantwortlichkeit des Beschwerdeführers genügt die verbindliche Feststellung der Vorinstanz, dass die Abwasser seines Betriebes mit zu jenen Erscheinungen und Schädigungen beigetragen haben.</w:t>
      </w:r>
    </w:p>
    <w:p>
      <w:r>
        <w:rPr>
          <w:b/>
        </w:rPr>
        <w:t>E. 4</w:t>
      </w:r>
    </w:p>
    <w:p>
      <w:r>
        <w:t>Die Notwendigkeit von Massnahmen im Sinne von Art. 3 Abs. 3 GSchG konnte der Beschwerdeführer schon auf BGE 91 IV 43 S. 46 Grund des Befundes der EAWAG vom 27. Februar 1963 erkennen. Und spätestens anhand des Berichtes des Kantonsingenieurs vom 6. März 1963 musste ihm bewusst sein, dass und inwiefern die Abwasserableitung den gesetzlichen Erfordernissen nicht entsprach. Von diesem Zeitpunkte an durfte er keinesfalls weiter zögern, für eine sofortige Abhilfe gegen eine weitere Gewässerverschmutzung zu sorgen. Einer besonderen Weisung seitens der Behörde bedurfte es hiefür nicht. Es kann deshalb dahin gestellt bleiben, ob die dem Beschwerdeführer am 6. März und 12. Juni 1963 bekanntgegebenen und auferlegten Bedingungen bereits eine solche Weisung enthielten. Entscheidend ist allein, dass er dadurch auf die bestehenden Mängel und die erforderlichen Vorkehrungen aufmerksam gemacht worden ist. Die dem Beschwerdeführer dabei angesetzte Frist ist in diesem Zusammenhang ebenfalls ohne Bedeutung. Sie hatte nur Geltung im Hinblick auf die geplante Betriebsausweitung. Von der gesetzlichen Verpflichtung, die Gewässerverschmutzung durch die bisherige Ableitung zu verhindern, entband sie ihn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